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CF" w:rsidRPr="00C166CF" w:rsidRDefault="00C166CF">
      <w:pPr>
        <w:rPr>
          <w:u w:val="single"/>
        </w:rPr>
      </w:pPr>
      <w:bookmarkStart w:id="0" w:name="_GoBack"/>
      <w:bookmarkEnd w:id="0"/>
      <w:r w:rsidRPr="00C166CF">
        <w:rPr>
          <w:u w:val="single"/>
        </w:rPr>
        <w:t>From Bucksport Mill license:</w:t>
      </w:r>
    </w:p>
    <w:p w:rsidR="000035E4" w:rsidRDefault="00A322FD">
      <w:r>
        <w:rPr>
          <w:noProof/>
        </w:rPr>
        <w:drawing>
          <wp:inline distT="0" distB="0" distL="0" distR="0">
            <wp:extent cx="5943600" cy="123226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32266"/>
                    </a:xfrm>
                    <a:prstGeom prst="rect">
                      <a:avLst/>
                    </a:prstGeom>
                    <a:noFill/>
                    <a:ln>
                      <a:noFill/>
                    </a:ln>
                  </pic:spPr>
                </pic:pic>
              </a:graphicData>
            </a:graphic>
          </wp:inline>
        </w:drawing>
      </w:r>
    </w:p>
    <w:p w:rsidR="00C166CF" w:rsidRPr="00C166CF" w:rsidRDefault="00C166CF">
      <w:pPr>
        <w:rPr>
          <w:rStyle w:val="letparaid1"/>
          <w:rFonts w:ascii="Old Standard TT" w:hAnsi="Old Standard TT" w:cs="Helvetica"/>
          <w:color w:val="333333"/>
          <w:u w:val="single"/>
        </w:rPr>
      </w:pPr>
      <w:r w:rsidRPr="00C166CF">
        <w:rPr>
          <w:rStyle w:val="letparaid1"/>
          <w:rFonts w:ascii="Old Standard TT" w:hAnsi="Old Standard TT" w:cs="Helvetica"/>
          <w:color w:val="333333"/>
          <w:u w:val="single"/>
        </w:rPr>
        <w:t>To fully understand the excursion limitation, you MUST read the law cited in the paragraph, below:</w:t>
      </w:r>
    </w:p>
    <w:p w:rsidR="00A322FD" w:rsidRDefault="00A322FD">
      <w:pPr>
        <w:rPr>
          <w:rStyle w:val="bhistory1"/>
          <w:color w:val="333333"/>
        </w:rPr>
      </w:pPr>
      <w:r>
        <w:rPr>
          <w:rStyle w:val="letparaid1"/>
          <w:rFonts w:ascii="Old Standard TT" w:hAnsi="Old Standard TT" w:cs="Helvetica"/>
          <w:color w:val="333333"/>
        </w:rPr>
        <w:t>349(9</w:t>
      </w:r>
      <w:proofErr w:type="gramStart"/>
      <w:r>
        <w:rPr>
          <w:rStyle w:val="letparaid1"/>
          <w:rFonts w:ascii="Old Standard TT" w:hAnsi="Old Standard TT" w:cs="Helvetica"/>
          <w:color w:val="333333"/>
        </w:rPr>
        <w:t>)(</w:t>
      </w:r>
      <w:proofErr w:type="gramEnd"/>
      <w:r>
        <w:rPr>
          <w:rStyle w:val="letparaid1"/>
          <w:rFonts w:ascii="Old Standard TT" w:hAnsi="Old Standard TT" w:cs="Helvetica"/>
          <w:color w:val="333333"/>
        </w:rPr>
        <w:t>B).</w:t>
      </w:r>
      <w:r>
        <w:rPr>
          <w:rFonts w:ascii="Old Standard TT" w:hAnsi="Old Standard TT" w:cs="Helvetica"/>
          <w:color w:val="333333"/>
        </w:rPr>
        <w:t xml:space="preserve"> An affirmative defense is established for a wastewater discharge in excess of license limitations if the discharge results exclusively from unintentional and temporary noncompliance with technology-based limitations because of factors entirely beyond the reasonable control of the licensee and the licensee has taken all reasonable steps to minimize or prevent any discharge and takes corrective action as soon as possible. There is not an affirmative defense if the malfunction is caused, entirely or in part, by operational error, improperly designed treatment facilities, inadequate treatment facilities, </w:t>
      </w:r>
      <w:proofErr w:type="gramStart"/>
      <w:r>
        <w:rPr>
          <w:rFonts w:ascii="Old Standard TT" w:hAnsi="Old Standard TT" w:cs="Helvetica"/>
          <w:color w:val="333333"/>
        </w:rPr>
        <w:t>lack</w:t>
      </w:r>
      <w:proofErr w:type="gramEnd"/>
      <w:r>
        <w:rPr>
          <w:rFonts w:ascii="Old Standard TT" w:hAnsi="Old Standard TT" w:cs="Helvetica"/>
          <w:color w:val="333333"/>
        </w:rPr>
        <w:t xml:space="preserve"> of preventive maintenance or careless or improper operation. The burden of proof is on the licensee seeking the affirmative defense under this subsection. In the event of an unavoidable malfunction, the licensee must notify the commissioner orally within 24 hours, and in writing within 5 days.</w:t>
      </w:r>
      <w:r>
        <w:rPr>
          <w:rStyle w:val="bhistory1"/>
          <w:color w:val="333333"/>
        </w:rPr>
        <w:t xml:space="preserve"> [</w:t>
      </w:r>
      <w:r>
        <w:rPr>
          <w:rStyle w:val="histyear"/>
          <w:rFonts w:ascii="Courier New" w:hAnsi="Courier New" w:cs="Courier New"/>
          <w:color w:val="333333"/>
          <w:sz w:val="20"/>
          <w:szCs w:val="20"/>
        </w:rPr>
        <w:t xml:space="preserve">2003, </w:t>
      </w:r>
      <w:r>
        <w:rPr>
          <w:rStyle w:val="histchapter"/>
          <w:rFonts w:ascii="Courier New" w:hAnsi="Courier New" w:cs="Courier New"/>
          <w:color w:val="333333"/>
          <w:sz w:val="20"/>
          <w:szCs w:val="20"/>
        </w:rPr>
        <w:t xml:space="preserve">c. 245, </w:t>
      </w:r>
      <w:r>
        <w:rPr>
          <w:rStyle w:val="histsection"/>
          <w:rFonts w:ascii="Courier New" w:hAnsi="Courier New" w:cs="Courier New"/>
          <w:color w:val="333333"/>
          <w:sz w:val="20"/>
          <w:szCs w:val="20"/>
        </w:rPr>
        <w:t>§6</w:t>
      </w:r>
      <w:r>
        <w:rPr>
          <w:rStyle w:val="histeffect"/>
          <w:rFonts w:ascii="Courier New" w:hAnsi="Courier New" w:cs="Courier New"/>
          <w:color w:val="333333"/>
          <w:sz w:val="20"/>
          <w:szCs w:val="20"/>
        </w:rPr>
        <w:t xml:space="preserve"> (AMD)</w:t>
      </w:r>
      <w:r>
        <w:rPr>
          <w:rStyle w:val="bhistory1"/>
          <w:color w:val="333333"/>
        </w:rPr>
        <w:t>.]</w:t>
      </w:r>
    </w:p>
    <w:p w:rsidR="00C166CF" w:rsidRPr="00C166CF" w:rsidRDefault="00C166CF">
      <w:pPr>
        <w:rPr>
          <w:rFonts w:ascii="Times New Roman" w:hAnsi="Times New Roman" w:cs="Times New Roman"/>
          <w:b/>
          <w:sz w:val="24"/>
          <w:szCs w:val="24"/>
        </w:rPr>
      </w:pPr>
      <w:r w:rsidRPr="00C166CF">
        <w:rPr>
          <w:rStyle w:val="bhistory1"/>
          <w:rFonts w:ascii="Times New Roman" w:hAnsi="Times New Roman" w:cs="Times New Roman"/>
          <w:b/>
          <w:color w:val="FF0000"/>
          <w:sz w:val="24"/>
          <w:szCs w:val="24"/>
        </w:rPr>
        <w:t>There is no carte blanche based only on minutes or total time per month.  There is a burden of proof that they have to demonstrate to our satisfaction that the excursions were allowable based on performance and design issues.</w:t>
      </w:r>
    </w:p>
    <w:sectPr w:rsidR="00C166CF" w:rsidRPr="00C16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Old Standard TT">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2FD"/>
    <w:rsid w:val="004B6BD7"/>
    <w:rsid w:val="00A20037"/>
    <w:rsid w:val="00A322FD"/>
    <w:rsid w:val="00C166CF"/>
    <w:rsid w:val="00F1634D"/>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31502-D58D-4B54-A20B-379E04CC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FD"/>
    <w:rPr>
      <w:rFonts w:ascii="Tahoma" w:hAnsi="Tahoma" w:cs="Tahoma"/>
      <w:sz w:val="16"/>
      <w:szCs w:val="16"/>
    </w:rPr>
  </w:style>
  <w:style w:type="character" w:customStyle="1" w:styleId="letparaid1">
    <w:name w:val="letpara_id1"/>
    <w:basedOn w:val="DefaultParagraphFont"/>
    <w:rsid w:val="00A322FD"/>
    <w:rPr>
      <w:b w:val="0"/>
      <w:bCs w:val="0"/>
    </w:rPr>
  </w:style>
  <w:style w:type="character" w:customStyle="1" w:styleId="bhistory1">
    <w:name w:val="bhistory1"/>
    <w:basedOn w:val="DefaultParagraphFont"/>
    <w:rsid w:val="00A322FD"/>
    <w:rPr>
      <w:rFonts w:ascii="Courier New" w:hAnsi="Courier New" w:cs="Courier New" w:hint="default"/>
      <w:b w:val="0"/>
      <w:bCs w:val="0"/>
      <w:sz w:val="20"/>
      <w:szCs w:val="20"/>
    </w:rPr>
  </w:style>
  <w:style w:type="character" w:customStyle="1" w:styleId="histyear">
    <w:name w:val="hist_year"/>
    <w:basedOn w:val="DefaultParagraphFont"/>
    <w:rsid w:val="00A322FD"/>
  </w:style>
  <w:style w:type="character" w:customStyle="1" w:styleId="histchapter">
    <w:name w:val="hist_chapter"/>
    <w:basedOn w:val="DefaultParagraphFont"/>
    <w:rsid w:val="00A322FD"/>
  </w:style>
  <w:style w:type="character" w:customStyle="1" w:styleId="histsection">
    <w:name w:val="hist_section"/>
    <w:basedOn w:val="DefaultParagraphFont"/>
    <w:rsid w:val="00A322FD"/>
  </w:style>
  <w:style w:type="character" w:customStyle="1" w:styleId="histeffect">
    <w:name w:val="hist_effect"/>
    <w:basedOn w:val="DefaultParagraphFont"/>
    <w:rsid w:val="00A3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Garwood, Phil E</dc:creator>
  <cp:lastModifiedBy>Paula Drouin</cp:lastModifiedBy>
  <cp:revision>2</cp:revision>
  <cp:lastPrinted>2016-03-08T12:23:00Z</cp:lastPrinted>
  <dcterms:created xsi:type="dcterms:W3CDTF">2016-10-07T14:04:00Z</dcterms:created>
  <dcterms:modified xsi:type="dcterms:W3CDTF">2016-10-07T14:04:00Z</dcterms:modified>
</cp:coreProperties>
</file>